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79"/>
          <w:sz w:val="44"/>
        </w:rPr>
        <w:t>Piccola dispensa</w:t>
      </w:r>
    </w:p>
    <w:p>
      <w:pPr>
        <w:jc w:val="center"/>
      </w:pPr>
      <w:r>
        <w:rPr>
          <w:i/>
          <w:color w:val="595959"/>
          <w:sz w:val="22"/>
        </w:rPr>
        <w:t>Introduzione al ruolo degli amministratori locali e al Testo Unico degli Enti Locali</w:t>
      </w:r>
    </w:p>
    <w:tbl>
      <w:tblPr>
        <w:tblW w:type="auto" w:w="0"/>
        <w:jc w:val="center"/>
        <w:tblLayout w:type="fixed"/>
        <w:tblLook w:firstColumn="1" w:firstRow="1" w:lastColumn="0" w:lastRow="0" w:noHBand="0" w:noVBand="1" w:val="04A0"/>
      </w:tblPr>
      <w:tblGrid>
        <w:gridCol w:w="8928"/>
      </w:tblGrid>
      <w:tr>
        <w:tc>
          <w:tcPr>
            <w:tcW w:type="dxa" w:w="9936"/>
            <w:shd w:fill="D9EAF7"/>
          </w:tcPr>
          <w:p>
            <w:r/>
          </w:p>
        </w:tc>
      </w:tr>
    </w:tbl>
    <w:p>
      <w:r>
        <w:t>Questa dispensa sintetizza i contenuti introduttivi dedicati all’amministrazione locale, al ruolo degli amministratori comunali e all’importanza della conoscenza delle regole. Il testo mette in evidenza la complessità del lavoro amministrativo, il valore della formazione e la necessità di operare con passione, responsabilità e competenza.</w:t>
      </w:r>
    </w:p>
    <w:tbl>
      <w:tblPr>
        <w:tblW w:type="auto" w:w="0"/>
        <w:jc w:val="center"/>
        <w:tblLayout w:type="autofit"/>
        <w:tblLook w:firstColumn="1" w:firstRow="1" w:lastColumn="0" w:lastRow="0" w:noHBand="0" w:noVBand="1" w:val="04A0"/>
      </w:tblPr>
      <w:tblGrid>
        <w:gridCol w:w="9936"/>
      </w:tblGrid>
      <w:tr>
        <w:tc>
          <w:tcPr>
            <w:tcW w:type="dxa" w:w="9936"/>
            <w:shd w:fill="1F4E79"/>
            <w:vAlign w:val="center"/>
          </w:tcPr>
          <w:p>
            <w:pPr>
              <w:spacing w:after="0"/>
            </w:pPr>
            <w:r/>
            <w:r>
              <w:rPr>
                <w:b/>
                <w:color w:val="FFFFFF"/>
              </w:rPr>
              <w:t>Messaggio chiave</w:t>
            </w:r>
          </w:p>
        </w:tc>
      </w:tr>
      <w:tr>
        <w:tc>
          <w:tcPr>
            <w:tcW w:type="dxa" w:w="9936"/>
            <w:shd w:fill="F2F7FB"/>
          </w:tcPr>
          <w:p>
            <w:pPr>
              <w:pStyle w:val="BoxText"/>
            </w:pPr>
            <w:r/>
            <w:r>
              <w:t>Amministrare un ente locale significa dedicare tempo, assumersi responsabilità e conoscere regole sempre più complesse, con l’obiettivo di produrre risultati utili per la comunità.</w:t>
            </w:r>
          </w:p>
        </w:tc>
      </w:tr>
    </w:tbl>
    <w:p>
      <w:pPr>
        <w:pStyle w:val="Heading1"/>
      </w:pPr>
      <w:r>
        <w:t>1. Il senso dell’incontro</w:t>
      </w:r>
    </w:p>
    <w:p>
      <w:r>
        <w:t>L’incontro nasce con l’obiettivo di offrire un aiuto concreto a chi già opera, o aspira a operare, nella pubblica amministrazione locale. Il tema centrale è l’amministrazione degli enti locali, con particolare attenzione ai Comuni, ai loro organi di governo e alle responsabilità di chi sceglie di dedicarsi alla vita amministrativa.</w:t>
      </w:r>
    </w:p>
    <w:p>
      <w:r>
        <w:t>Alla base dell’iniziativa vi è una forte motivazione civica: mettere a disposizione esperienza, competenza e tempo per sostenere sindaci, amministratori, consiglieri e cittadini interessati alla gestione della cosa pubblica.</w:t>
      </w:r>
    </w:p>
    <w:p>
      <w:pPr>
        <w:pStyle w:val="Heading1"/>
      </w:pPr>
      <w:r>
        <w:t>2. Amministrare significa dedicare tempo e passione</w:t>
      </w:r>
    </w:p>
    <w:p>
      <w:r>
        <w:t>Amministrare un Comune comporta un forte investimento personale. Chi ricopre ruoli pubblici, oppure desidera farlo, deve sapere che l’attività amministrativa richiede tempo sottratto ad altri aspetti della vita personale, familiare e professionale.</w:t>
      </w:r>
    </w:p>
    <w:p>
      <w:r>
        <w:t>Dall’esperienza maturata in quarant’anni accanto ad amministrazioni comunali di diverse dimensioni emerge un tratto comune: molti amministratori sono mossi da una sincera volontà di sacrificarsi per la propria comunità.</w:t>
      </w:r>
    </w:p>
    <w:p>
      <w:pPr>
        <w:pStyle w:val="Heading1"/>
      </w:pPr>
      <w:r>
        <w:t>3. Il Testo Unico degli Enti Locali</w:t>
      </w:r>
    </w:p>
    <w:p>
      <w:r>
        <w:t>Il percorso formativo prende come riferimento il Testo Unico degli Enti Locali, cioè il quadro normativo fondamentale che disciplina l’organizzazione e il funzionamento degli enti locali.</w:t>
      </w:r>
    </w:p>
    <w:p>
      <w:r>
        <w:t>La materia è molto ampia e complessa. Per questo motivo l’incontro si concentra su alcuni nuclei fondamentali: i principi generali, gli enti locali previsti dal Titolo II del TUEL, le forme di governo locale, il ruolo del Consiglio comunale, del Sindaco e della Giunta, e le prerogative del Consigliere comunale.</w:t>
      </w:r>
    </w:p>
    <w:p>
      <w:pPr>
        <w:pStyle w:val="Heading1"/>
      </w:pPr>
      <w:r>
        <w:t>4. Gli organi principali del Comune</w:t>
      </w:r>
    </w:p>
    <w:p>
      <w:r>
        <w:t>Nel testo vengono richiamati tre organi fondamentali del governo comunale: Consiglio comunale, Sindaco e Giunta.</w:t>
      </w:r>
    </w:p>
    <w:p>
      <w:r>
        <w:t>Il Consiglio comunale rappresenta l’organo di indirizzo e controllo politico-amministrativo. È il luogo in cui si discutono e approvano gli atti fondamentali dell’ente.</w:t>
      </w:r>
    </w:p>
    <w:p>
      <w:r>
        <w:t>Il Sindaco è il rappresentante dell’amministrazione comunale e della comunità locale. Ha un ruolo di guida politica e istituzionale e si trova spesso esposto direttamente al rapporto con i cittadini.</w:t>
      </w:r>
    </w:p>
    <w:p>
      <w:r>
        <w:t>La Giunta comunale collabora con il Sindaco nell’attuazione dell’indirizzo politico-amministrativo e nell’esercizio delle funzioni di governo dell’ente.</w:t>
      </w:r>
    </w:p>
    <w:p>
      <w:pPr>
        <w:pStyle w:val="Heading1"/>
      </w:pPr>
      <w:r>
        <w:t>5. Il ruolo delicato del Consigliere comunale</w:t>
      </w:r>
    </w:p>
    <w:p>
      <w:r>
        <w:t>Particolare attenzione viene riservata al ruolo del Consigliere comunale, definito come uno degli argomenti più insidiosi e delicati.</w:t>
      </w:r>
    </w:p>
    <w:p>
      <w:r>
        <w:t>Il consigliere comunale deve conoscere bene le proprie prerogative, i propri diritti e i propri limiti. La mancata conoscenza delle regole può generare incomprensioni, conflitti e tensioni all’interno dell’amministrazione.</w:t>
      </w:r>
    </w:p>
    <w:p>
      <w:pPr>
        <w:pStyle w:val="Heading1"/>
      </w:pPr>
      <w:r>
        <w:t>6. Conoscere le regole per evitare conflitti</w:t>
      </w:r>
    </w:p>
    <w:p>
      <w:r>
        <w:t>Quando amministratori, consiglieri e organi dell’ente non conoscono bene le regole, possono nascere animosità, incomprensioni e contrasti.</w:t>
      </w:r>
    </w:p>
    <w:p>
      <w:r>
        <w:t>Il contrasto, nella pubblica amministrazione, non è quasi mai produttivo se diventa paralizzante. Quando un’amministrazione si blocca, non si ferma solo l’attività degli uffici: si rallenta anche la storia di una comunità, perché vengono ritardate decisioni, interventi e risposte ai cittadini.</w:t>
      </w:r>
    </w:p>
    <w:p>
      <w:pPr>
        <w:pStyle w:val="Heading1"/>
      </w:pPr>
      <w:r>
        <w:t>7. L’esperienza al servizio degli amministratori</w:t>
      </w:r>
    </w:p>
    <w:p>
      <w:r>
        <w:t>Chi introduce l’incontro richiama la propria esperienza professionale di circa quarant’anni nella pubblica amministrazione, in particolare accanto agli enti locali.</w:t>
      </w:r>
    </w:p>
    <w:p>
      <w:r>
        <w:t>Questa esperienza viene messa a disposizione con una finalità concreta: aiutare chi ogni giorno affronta le difficoltà del territorio, le pressioni dei cittadini, la complessità normativa e la responsabilità delle decisioni pubbliche.</w:t>
      </w:r>
    </w:p>
    <w:p>
      <w:pPr>
        <w:pStyle w:val="Heading1"/>
      </w:pPr>
      <w:r>
        <w:t>8. Il risultato nella pubblica amministrazione</w:t>
      </w:r>
    </w:p>
    <w:p>
      <w:r>
        <w:t>Negli ultimi anni, nella pubblica amministrazione si è affermata sempre di più l’idea del lavoro orientato al risultato.</w:t>
      </w:r>
    </w:p>
    <w:p>
      <w:r>
        <w:t>Il risultato, però, non può essere raggiunto in qualunque modo. Deve essere perseguito rispettando principi fondamentali come efficacia, economicità, trasparenza e rispetto delle regole.</w:t>
      </w:r>
    </w:p>
    <w:p>
      <w:pPr>
        <w:pStyle w:val="Heading1"/>
      </w:pPr>
      <w:r>
        <w:t>9. La complessità normativa</w:t>
      </w:r>
    </w:p>
    <w:p>
      <w:r>
        <w:t>Il testo evidenzia una criticità concreta: persino i testi normativi ufficiali possono non essere pienamente aggiornati.</w:t>
      </w:r>
    </w:p>
    <w:p>
      <w:r>
        <w:t>Viene richiamato il caso del Testo Unico degli Enti Locali, che, pur essendo il riferimento principale, può contenere parti non aggiornate rispetto alle riforme successive. Questo dimostra quanto sia difficile disporre sempre di strumenti normativi perfettamente allineati alla realtà vigente.</w:t>
      </w:r>
    </w:p>
    <w:p>
      <w:pPr>
        <w:pStyle w:val="Heading1"/>
      </w:pPr>
      <w:r>
        <w:t>10. Conclusione</w:t>
      </w:r>
    </w:p>
    <w:p>
      <w:r>
        <w:t>Il messaggio complessivo della lezione introduttiva è chiaro: amministrare un ente locale è un’attività complessa, impegnativa e delicata, ma anche profondamente utile.</w:t>
      </w:r>
    </w:p>
    <w:p>
      <w:r>
        <w:t>Chi sceglie di dedicarsi alla pubblica amministrazione deve farlo con passione, spirito di servizio, preparazione e consapevolezza delle regole. La formazione diventa quindi uno strumento essenziale per governare meglio, evitare conflitti inutili e produrre risultati concreti per le comunità.</w:t>
      </w:r>
    </w:p>
    <w:p>
      <w:pPr>
        <w:pStyle w:val="Heading1"/>
      </w:pPr>
      <w:r>
        <w:t>Schema di sintesi</w:t>
      </w:r>
    </w:p>
    <w:tbl>
      <w:tblPr>
        <w:tblStyle w:val="TableGrid"/>
        <w:tblW w:type="auto" w:w="0"/>
        <w:tblLook w:firstColumn="1" w:firstRow="1" w:lastColumn="0" w:lastRow="0" w:noHBand="0" w:noVBand="1" w:val="04A0"/>
      </w:tblPr>
      <w:tblGrid>
        <w:gridCol w:w="4968"/>
        <w:gridCol w:w="4968"/>
      </w:tblGrid>
      <w:tr>
        <w:tc>
          <w:tcPr>
            <w:tcW w:type="dxa" w:w="4968"/>
            <w:shd w:fill="1F4E79"/>
            <w:vAlign w:val="center"/>
          </w:tcPr>
          <w:p>
            <w:pPr>
              <w:spacing w:after="0"/>
            </w:pPr>
            <w:r/>
            <w:r>
              <w:rPr>
                <w:b/>
                <w:color w:val="FFFFFF"/>
              </w:rPr>
              <w:t>Tema</w:t>
            </w:r>
          </w:p>
        </w:tc>
        <w:tc>
          <w:tcPr>
            <w:tcW w:type="dxa" w:w="4968"/>
            <w:shd w:fill="1F4E79"/>
            <w:vAlign w:val="center"/>
          </w:tcPr>
          <w:p>
            <w:pPr>
              <w:spacing w:after="0"/>
            </w:pPr>
            <w:r/>
            <w:r>
              <w:rPr>
                <w:b/>
                <w:color w:val="FFFFFF"/>
              </w:rPr>
              <w:t>Idea centrale</w:t>
            </w:r>
          </w:p>
        </w:tc>
      </w:tr>
      <w:tr>
        <w:tc>
          <w:tcPr>
            <w:tcW w:type="dxa" w:w="4968"/>
            <w:vAlign w:val="top"/>
          </w:tcPr>
          <w:p>
            <w:r>
              <w:t>Impegno amministrativo</w:t>
            </w:r>
          </w:p>
        </w:tc>
        <w:tc>
          <w:tcPr>
            <w:tcW w:type="dxa" w:w="4968"/>
            <w:vAlign w:val="top"/>
          </w:tcPr>
          <w:p>
            <w:r>
              <w:t>Richiede tempo, sacrificio e passione.</w:t>
            </w:r>
          </w:p>
        </w:tc>
      </w:tr>
      <w:tr>
        <w:tc>
          <w:tcPr>
            <w:tcW w:type="dxa" w:w="4968"/>
            <w:vAlign w:val="top"/>
          </w:tcPr>
          <w:p>
            <w:r>
              <w:t>TUEL</w:t>
            </w:r>
          </w:p>
        </w:tc>
        <w:tc>
          <w:tcPr>
            <w:tcW w:type="dxa" w:w="4968"/>
            <w:vAlign w:val="top"/>
          </w:tcPr>
          <w:p>
            <w:r>
              <w:t>È il quadro normativo di riferimento per gli enti locali.</w:t>
            </w:r>
          </w:p>
        </w:tc>
      </w:tr>
      <w:tr>
        <w:tc>
          <w:tcPr>
            <w:tcW w:type="dxa" w:w="4968"/>
            <w:vAlign w:val="top"/>
          </w:tcPr>
          <w:p>
            <w:r>
              <w:t>Organi comunali</w:t>
            </w:r>
          </w:p>
        </w:tc>
        <w:tc>
          <w:tcPr>
            <w:tcW w:type="dxa" w:w="4968"/>
            <w:vAlign w:val="top"/>
          </w:tcPr>
          <w:p>
            <w:r>
              <w:t>Consiglio, Sindaco e Giunta hanno ruoli distinti e complementari.</w:t>
            </w:r>
          </w:p>
        </w:tc>
      </w:tr>
      <w:tr>
        <w:tc>
          <w:tcPr>
            <w:tcW w:type="dxa" w:w="4968"/>
            <w:vAlign w:val="top"/>
          </w:tcPr>
          <w:p>
            <w:r>
              <w:t>Consigliere comunale</w:t>
            </w:r>
          </w:p>
        </w:tc>
        <w:tc>
          <w:tcPr>
            <w:tcW w:type="dxa" w:w="4968"/>
            <w:vAlign w:val="top"/>
          </w:tcPr>
          <w:p>
            <w:r>
              <w:t>Deve conoscere prerogative, diritti, doveri e limiti.</w:t>
            </w:r>
          </w:p>
        </w:tc>
      </w:tr>
      <w:tr>
        <w:tc>
          <w:tcPr>
            <w:tcW w:type="dxa" w:w="4968"/>
            <w:vAlign w:val="top"/>
          </w:tcPr>
          <w:p>
            <w:r>
              <w:t>Conoscenza delle regole</w:t>
            </w:r>
          </w:p>
        </w:tc>
        <w:tc>
          <w:tcPr>
            <w:tcW w:type="dxa" w:w="4968"/>
            <w:vAlign w:val="top"/>
          </w:tcPr>
          <w:p>
            <w:r>
              <w:t>Previene conflitti, blocchi e cattivo funzionamento dell’ente.</w:t>
            </w:r>
          </w:p>
        </w:tc>
      </w:tr>
      <w:tr>
        <w:tc>
          <w:tcPr>
            <w:tcW w:type="dxa" w:w="4968"/>
            <w:vAlign w:val="top"/>
          </w:tcPr>
          <w:p>
            <w:r>
              <w:t>Risultato amministrativo</w:t>
            </w:r>
          </w:p>
        </w:tc>
        <w:tc>
          <w:tcPr>
            <w:tcW w:type="dxa" w:w="4968"/>
            <w:vAlign w:val="top"/>
          </w:tcPr>
          <w:p>
            <w:r>
              <w:t>Va perseguito con efficacia, economicità, trasparenza e legalità.</w:t>
            </w:r>
          </w:p>
        </w:tc>
      </w:tr>
    </w:tbl>
    <w:sectPr w:rsidR="00FC693F" w:rsidRPr="0006063C" w:rsidSect="00034616">
      <w:footerReference w:type="default" r:id="rId9"/>
      <w:pgSz w:w="12240" w:h="15840"/>
      <w:pgMar w:top="1080" w:right="1152" w:bottom="108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6464"/>
        <w:sz w:val="16"/>
      </w:rPr>
      <w:t>Materiale di studio - elaborazione da testo introduttivo</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59" w:lineRule="auto" w:after="120"/>
    </w:pPr>
    <w:rPr>
      <w:rFonts w:ascii="Aptos" w:hAnsi="Aptos" w:eastAsia="Aptos"/>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20"/>
      <w:outlineLvl w:val="0"/>
    </w:pPr>
    <w:rPr>
      <w:rFonts w:asciiTheme="majorHAnsi" w:eastAsiaTheme="majorEastAsia" w:hAnsiTheme="majorHAnsi" w:cstheme="majorBidi" w:ascii="Aptos" w:hAnsi="Aptos" w:eastAsia="Aptos"/>
      <w:b/>
      <w:bCs/>
      <w:color w:val="1F4E79"/>
      <w:sz w:val="32"/>
      <w:szCs w:val="28"/>
    </w:rPr>
  </w:style>
  <w:style w:type="paragraph" w:styleId="Heading2">
    <w:name w:val="heading 2"/>
    <w:basedOn w:val="Normal"/>
    <w:next w:val="Normal"/>
    <w:link w:val="Heading2Char"/>
    <w:uiPriority w:val="9"/>
    <w:unhideWhenUsed/>
    <w:qFormat/>
    <w:rsid w:val="00FC693F"/>
    <w:pPr>
      <w:keepNext/>
      <w:keepLines/>
      <w:spacing w:before="200" w:after="120"/>
      <w:outlineLvl w:val="1"/>
    </w:pPr>
    <w:rPr>
      <w:rFonts w:asciiTheme="majorHAnsi" w:eastAsiaTheme="majorEastAsia" w:hAnsiTheme="majorHAnsi" w:cstheme="majorBidi" w:ascii="Aptos" w:hAnsi="Aptos" w:eastAsia="Aptos"/>
      <w:b/>
      <w:bCs/>
      <w:color w:val="2F5597"/>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20" w:line="240" w:lineRule="auto" w:before="0"/>
      <w:contextualSpacing/>
    </w:pPr>
    <w:rPr>
      <w:rFonts w:asciiTheme="majorHAnsi" w:eastAsiaTheme="majorEastAsia" w:hAnsiTheme="majorHAnsi" w:cstheme="majorBidi" w:ascii="Aptos Display" w:hAnsi="Aptos Display" w:eastAsia="Aptos Display"/>
      <w:b/>
      <w:color w:val="1F4E79"/>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xText">
    <w:name w:val="Box Text"/>
    <w:pPr>
      <w:spacing w:before="80" w:after="80"/>
      <w:ind w:left="288" w:right="288"/>
    </w:pPr>
    <w:rPr>
      <w:rFonts w:ascii="Aptos" w:hAnsi="Aptos" w:eastAsia="Aptos"/>
      <w:sz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